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60" w:rsidRPr="00053160" w:rsidRDefault="00053160" w:rsidP="00A23E7A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（別紙３）</w:t>
      </w: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HGS創英角ｺﾞｼｯｸUB" w:eastAsia="HGS創英角ｺﾞｼｯｸUB" w:hAnsi="HGS創英角ｺﾞｼｯｸUB" w:cs="ＭＳＰゴシック"/>
          <w:color w:val="000000"/>
          <w:kern w:val="0"/>
          <w:szCs w:val="21"/>
        </w:rPr>
      </w:pPr>
      <w:r w:rsidRPr="00053160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Cs w:val="21"/>
        </w:rPr>
        <w:t>（特定事業所集中減算に係る判定結果が</w:t>
      </w:r>
      <w:r w:rsidRPr="00053160">
        <w:rPr>
          <w:rFonts w:ascii="HGS創英角ｺﾞｼｯｸUB" w:eastAsia="HGS創英角ｺﾞｼｯｸUB" w:hAnsi="HGS創英角ｺﾞｼｯｸUB" w:cs="ＭＳＰゴシック"/>
          <w:color w:val="000000"/>
          <w:kern w:val="0"/>
          <w:szCs w:val="21"/>
        </w:rPr>
        <w:t>80</w:t>
      </w:r>
      <w:r w:rsidRPr="00053160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Cs w:val="21"/>
        </w:rPr>
        <w:t>％を超えても正当な理由がある場合のみ提出）</w:t>
      </w:r>
    </w:p>
    <w:p w:rsidR="00053160" w:rsidRPr="00F20596" w:rsidRDefault="00053160" w:rsidP="00F20596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HGS創英角ｺﾞｼｯｸUB" w:cs="ＭＳＰゴシック"/>
          <w:color w:val="000000"/>
          <w:kern w:val="0"/>
          <w:sz w:val="28"/>
          <w:szCs w:val="28"/>
        </w:rPr>
      </w:pPr>
      <w:r w:rsidRPr="00F20596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 w:val="28"/>
          <w:szCs w:val="28"/>
        </w:rPr>
        <w:t>理</w:t>
      </w:r>
      <w:r w:rsidR="00F20596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 w:val="28"/>
          <w:szCs w:val="28"/>
        </w:rPr>
        <w:t xml:space="preserve">　</w:t>
      </w:r>
      <w:r w:rsidRPr="00F20596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 w:val="28"/>
          <w:szCs w:val="28"/>
        </w:rPr>
        <w:t>由</w:t>
      </w:r>
      <w:r w:rsidR="00F20596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 w:val="28"/>
          <w:szCs w:val="28"/>
        </w:rPr>
        <w:t xml:space="preserve">　</w:t>
      </w:r>
      <w:r w:rsidRPr="00F20596">
        <w:rPr>
          <w:rFonts w:ascii="HGS創英角ｺﾞｼｯｸUB" w:eastAsia="HGS創英角ｺﾞｼｯｸUB" w:hAnsi="HGS創英角ｺﾞｼｯｸUB" w:cs="ＭＳＰゴシック" w:hint="eastAsia"/>
          <w:color w:val="000000"/>
          <w:kern w:val="0"/>
          <w:sz w:val="28"/>
          <w:szCs w:val="28"/>
        </w:rPr>
        <w:t>書</w:t>
      </w: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該当する理由に○をつけてください。</w:t>
      </w:r>
    </w:p>
    <w:p w:rsidR="00053160" w:rsidRPr="00053160" w:rsidRDefault="00431B52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noProof/>
          <w:color w:val="000000"/>
          <w:kern w:val="0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179322</wp:posOffset>
                </wp:positionH>
                <wp:positionV relativeFrom="paragraph">
                  <wp:posOffset>216691</wp:posOffset>
                </wp:positionV>
                <wp:extent cx="297251" cy="1475117"/>
                <wp:effectExtent l="19050" t="19050" r="64770" b="8699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251" cy="1475117"/>
                          <a:chOff x="0" y="0"/>
                          <a:chExt cx="297251" cy="1475117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8626" y="0"/>
                            <a:ext cx="0" cy="1276350"/>
                          </a:xfrm>
                          <a:prstGeom prst="line">
                            <a:avLst/>
                          </a:prstGeom>
                          <a:ln w="15875" cap="sq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矢印コネクタ 3"/>
                        <wps:cNvCnPr/>
                        <wps:spPr>
                          <a:xfrm>
                            <a:off x="163901" y="1043796"/>
                            <a:ext cx="133350" cy="0"/>
                          </a:xfrm>
                          <a:prstGeom prst="straightConnector1">
                            <a:avLst/>
                          </a:prstGeom>
                          <a:ln w="15875" cap="sq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矢印コネクタ 5"/>
                        <wps:cNvCnPr/>
                        <wps:spPr>
                          <a:xfrm>
                            <a:off x="163901" y="1475117"/>
                            <a:ext cx="133350" cy="0"/>
                          </a:xfrm>
                          <a:prstGeom prst="straightConnector1">
                            <a:avLst/>
                          </a:prstGeom>
                          <a:noFill/>
                          <a:ln w="15875" cap="sq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55275" y="1043796"/>
                            <a:ext cx="0" cy="428625"/>
                          </a:xfrm>
                          <a:prstGeom prst="line">
                            <a:avLst/>
                          </a:prstGeom>
                          <a:ln w="15875" cap="sq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285336"/>
                            <a:ext cx="151075" cy="0"/>
                          </a:xfrm>
                          <a:prstGeom prst="line">
                            <a:avLst/>
                          </a:prstGeom>
                          <a:ln w="15875" cap="sq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26" style="position:absolute;left:0;text-align:left;margin-left:14.1pt;margin-top:17.05pt;width:23.4pt;height:116.15pt;z-index:251650048" coordsize="2972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">
                <v:line id="直線コネクタ 1" o:spid="_x0000_s1027" style="position:absolute;visibility:visible;mso-wrap-style:square" from="86,0" to="86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NA8EAAADaAAAADwAAAGRycy9kb3ducmV2LnhtbERPS4vCMBC+C/sfwix4kTXVg0o1yqr4&#10;OsiyungemrHt2kxKE2v990YQPA0f33Mms8YUoqbK5ZYV9LoRCOLE6pxTBX/H1dcIhPPIGgvLpOBO&#10;DmbTj9YEY21v/Ev1wacihLCLUUHmfRlL6ZKMDLquLYkDd7aVQR9glUpd4S2Em0L2o2ggDeYcGjIs&#10;aZFRcjlcjYLToh4Wm/mPN+vjjk7LtLP/H12Van8232MQnhr/Fr/cWx3mw/OV55XT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PA0DwQAAANoAAAAPAAAAAAAAAAAAAAAA&#10;AKECAABkcnMvZG93bnJldi54bWxQSwUGAAAAAAQABAD5AAAAjwMAAAAA&#10;" strokecolor="#5b9bd5 [3204]" strokeweight="1.25pt">
                  <v:stroke joinstyle="miter" endcap="square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28" type="#_x0000_t32" style="position:absolute;left:1639;top:10437;width:13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yBcMEAAADaAAAADwAAAGRycy9kb3ducmV2LnhtbESP0WoCMRRE3wv+Q7hC32rWSkVWo0ih&#10;oA8LdfUDLpvrZnFzsyapbv16Iwg+DjNzhlmsetuKC/nQOFYwHmUgiCunG64VHPY/HzMQISJrbB2T&#10;gn8KsFoO3haYa3flHV3KWIsE4ZCjAhNjl0sZKkMWw8h1xMk7Om8xJulrqT1eE9y28jPLptJiw2nB&#10;YEffhqpT+WcTxRUnU9zOv0Ux07jZlV/eVVul3of9eg4iUh9f4Wd7oxVM4HEl3Q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HIFwwQAAANoAAAAPAAAAAAAAAAAAAAAA&#10;AKECAABkcnMvZG93bnJldi54bWxQSwUGAAAAAAQABAD5AAAAjwMAAAAA&#10;" strokecolor="#5b9bd5 [3204]" strokeweight="1.25pt">
                  <v:stroke endarrow="block" joinstyle="miter" endcap="square"/>
                </v:shape>
                <v:shape id="直線矢印コネクタ 5" o:spid="_x0000_s1029" type="#_x0000_t32" style="position:absolute;left:1639;top:14751;width:13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vXc8IAAADaAAAADwAAAGRycy9kb3ducmV2LnhtbESP3WoCMRSE7wu+QziCN0WzCpayGsUf&#10;hF6IoPYBDslxd3FzsiZx3fbpG0Ho5TAz3zDzZWdr0ZIPlWMF41EGglg7U3Gh4Pu8G36CCBHZYO2Y&#10;FPxQgOWi9zbH3LgHH6k9xUIkCIccFZQxNrmUQZdkMYxcQ5y8i/MWY5K+kMbjI8FtLSdZ9iEtVpwW&#10;SmxoU5K+nu5WwW1/3OqNXx2wXSMXh/dz0P5XqUG/W81AROrif/jV/jIKpvC8km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vXc8IAAADaAAAADwAAAAAAAAAAAAAA&#10;AAChAgAAZHJzL2Rvd25yZXYueG1sUEsFBgAAAAAEAAQA+QAAAJADAAAAAA==&#10;" strokecolor="#5b9bd5" strokeweight="1.25pt">
                  <v:stroke endarrow="block" joinstyle="miter" endcap="square"/>
                </v:shape>
                <v:line id="直線コネクタ 6" o:spid="_x0000_s1030" style="position:absolute;visibility:visible;mso-wrap-style:square" from="1552,10437" to="1552,1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WVd8UAAADaAAAADwAAAGRycy9kb3ducmV2LnhtbESPQWvCQBSE74X+h+UVeinNRg8q0VWq&#10;YquHUpqUnB/ZZ5KafRuya0z/vSsIPQ4z8w2zWA2mET11rrasYBTFIIgLq2suFfxku9cZCOeRNTaW&#10;ScEfOVgtHx8WmGh74W/qU1+KAGGXoILK+zaR0hUVGXSRbYmDd7SdQR9kV0rd4SXATSPHcTyRBmsO&#10;CxW2tKmoOKVnoyDf9NPmY/3lzXt2oHxbvnz+zs5KPT8Nb3MQngb/H76391rBBG5Xwg2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WVd8UAAADaAAAADwAAAAAAAAAA&#10;AAAAAAChAgAAZHJzL2Rvd25yZXYueG1sUEsFBgAAAAAEAAQA+QAAAJMDAAAAAA==&#10;" strokecolor="#5b9bd5 [3204]" strokeweight="1.25pt">
                  <v:stroke joinstyle="miter" endcap="square"/>
                </v:line>
                <v:line id="直線コネクタ 7" o:spid="_x0000_s1031" style="position:absolute;visibility:visible;mso-wrap-style:square" from="0,12853" to="1510,12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kw7MUAAADaAAAADwAAAGRycy9kb3ducmV2LnhtbESPQWvCQBSE70L/w/IKvUiz0UOV6CpV&#10;sa2HUpqUnB/ZZ5KafRuya0z/vSsIPQ4z8w2zXA+mET11rrasYBLFIIgLq2suFfxk++c5COeRNTaW&#10;ScEfOVivHkZLTLS98Df1qS9FgLBLUEHlfZtI6YqKDLrItsTBO9rOoA+yK6Xu8BLgppHTOH6RBmsO&#10;CxW2tK2oOKVnoyDf9rPmffPlzVt2oHxXjj9/52elnh6H1wUIT4P/D9/bH1rBDG5Xwg2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kw7MUAAADaAAAADwAAAAAAAAAA&#10;AAAAAAChAgAAZHJzL2Rvd25yZXYueG1sUEsFBgAAAAAEAAQA+QAAAJMDAAAAAA==&#10;" strokecolor="#5b9bd5 [3204]" strokeweight="1.25pt">
                  <v:stroke joinstyle="miter" endcap="square"/>
                </v:line>
              </v:group>
            </w:pict>
          </mc:Fallback>
        </mc:AlternateConten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="00053160"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="00053160"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）ア．利用者の日常生活区域に、特定事業所集中減算の対象サービスとな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る事業所がサービス種類ごとに見た場合に少ないため、特定の事業者</w:t>
      </w:r>
    </w:p>
    <w:p w:rsid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に集中していると認められる場合。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FF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再計算の結果</w:t>
      </w:r>
      <w:r w:rsidRPr="00053160">
        <w:rPr>
          <w:rFonts w:ascii="ＭＳ 明朝" w:eastAsia="ＭＳ 明朝" w:hAnsi="ＭＳ 明朝" w:cs="ＭＳ明朝" w:hint="eastAsia"/>
          <w:color w:val="FF0000"/>
          <w:kern w:val="0"/>
          <w:sz w:val="23"/>
          <w:szCs w:val="23"/>
        </w:rPr>
        <w:t>（別紙４添付）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(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ｱ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)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訪問介護等が位置づけられた居宅サービス計画の数が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800" w:firstLine="184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１月あたり平均１０件以下である。</w:t>
      </w:r>
    </w:p>
    <w:p w:rsidR="00053160" w:rsidRDefault="00053160" w:rsidP="00053160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>(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ｲ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)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紹介率最高法人に８０％以上集中していない。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）イ．当該居宅介護支援事業所の通常の事業実施地域にサービス種類ごと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500" w:firstLine="1150"/>
        <w:jc w:val="left"/>
        <w:rPr>
          <w:rFonts w:ascii="ＭＳ 明朝" w:eastAsia="ＭＳ 明朝" w:hAnsi="ＭＳ 明朝" w:cs="ＭＳ明朝"/>
          <w:color w:val="FF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の事業所数が４事業所以下である。</w:t>
      </w:r>
      <w:r w:rsidRPr="00053160">
        <w:rPr>
          <w:rFonts w:ascii="ＭＳ 明朝" w:eastAsia="ＭＳ 明朝" w:hAnsi="ＭＳ 明朝" w:cs="ＭＳ明朝" w:hint="eastAsia"/>
          <w:color w:val="FF0000"/>
          <w:kern w:val="0"/>
          <w:sz w:val="23"/>
          <w:szCs w:val="23"/>
        </w:rPr>
        <w:t>（事業所の運営規程を添付）</w:t>
      </w:r>
    </w:p>
    <w:p w:rsidR="00053160" w:rsidRDefault="00053160" w:rsidP="00053160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通常の事業実施地域（</w:t>
      </w:r>
      <w:r w:rsidR="00F20596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国見・国東・武蔵・安岐</w:t>
      </w:r>
      <w:r w:rsidRPr="00053160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）</w:t>
      </w:r>
    </w:p>
    <w:p w:rsidR="00053160" w:rsidRPr="00F20596" w:rsidRDefault="00F20596" w:rsidP="00F20596">
      <w:pPr>
        <w:autoSpaceDE w:val="0"/>
        <w:autoSpaceDN w:val="0"/>
        <w:adjustRightInd w:val="0"/>
        <w:ind w:firstLineChars="600" w:firstLine="1080"/>
        <w:jc w:val="right"/>
        <w:rPr>
          <w:rFonts w:ascii="ＭＳ 明朝" w:eastAsia="ＭＳ 明朝" w:hAnsi="ＭＳ 明朝" w:cs="ＭＳ明朝"/>
          <w:color w:val="000000"/>
          <w:kern w:val="0"/>
          <w:sz w:val="18"/>
          <w:szCs w:val="18"/>
        </w:rPr>
      </w:pPr>
      <w:r w:rsidRPr="00F20596">
        <w:rPr>
          <w:rFonts w:ascii="ＭＳ 明朝" w:eastAsia="ＭＳ 明朝" w:hAnsi="ＭＳ 明朝" w:cs="ＭＳ明朝" w:hint="eastAsia"/>
          <w:color w:val="000000"/>
          <w:kern w:val="0"/>
          <w:sz w:val="18"/>
          <w:szCs w:val="18"/>
        </w:rPr>
        <w:t>※該当区域すべてに○を付す。</w:t>
      </w:r>
    </w:p>
    <w:p w:rsid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）ウ．当該居宅介護支援事業所が特別地域加算を受けている。</w:t>
      </w: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）エ．判定期間における事業所の１月平均の居宅サービス計画数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（給付管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理数）が２０件以下である。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１月平均（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　　　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）件</w:t>
      </w:r>
    </w:p>
    <w:p w:rsidR="00053160" w:rsidRDefault="00053160" w:rsidP="00053160">
      <w:pPr>
        <w:autoSpaceDE w:val="0"/>
        <w:autoSpaceDN w:val="0"/>
        <w:adjustRightInd w:val="0"/>
        <w:ind w:firstLineChars="500" w:firstLine="115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〔計算式〕居宅サービス計画の総数（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）÷月数（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　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500" w:firstLine="115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（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）オ．判定期間の１月当たりの平均居宅サービス計画のうち、それぞれの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サービスが位置づけられた計画件数が１月あたり平均１０件以下であ</w:t>
      </w:r>
    </w:p>
    <w:p w:rsid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る。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）カ．サービスの質が高いことによる利用者の希望を勘案したことにより、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特定の事業者に集中していると認められる場合</w:t>
      </w:r>
    </w:p>
    <w:p w:rsidR="00053160" w:rsidRPr="00F20596" w:rsidRDefault="00053160" w:rsidP="00F20596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（</w:t>
      </w:r>
      <w:r w:rsidR="00F20596">
        <w:rPr>
          <w:rFonts w:ascii="ＭＳ 明朝" w:eastAsia="ＭＳ 明朝" w:hAnsi="ＭＳ 明朝" w:cs="ＭＳ明朝" w:hint="eastAsia"/>
          <w:kern w:val="0"/>
          <w:sz w:val="23"/>
          <w:szCs w:val="23"/>
        </w:rPr>
        <w:t>具体的な考え方</w:t>
      </w: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）</w:t>
      </w:r>
    </w:p>
    <w:p w:rsidR="00F20596" w:rsidRDefault="00053160" w:rsidP="00F20596">
      <w:pPr>
        <w:autoSpaceDE w:val="0"/>
        <w:autoSpaceDN w:val="0"/>
        <w:adjustRightInd w:val="0"/>
        <w:ind w:firstLineChars="500" w:firstLine="115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利用者から質が高いことを理由に当該サービスを利用したい旨の理由</w:t>
      </w:r>
    </w:p>
    <w:p w:rsidR="00053160" w:rsidRPr="00053160" w:rsidRDefault="00053160" w:rsidP="00F20596">
      <w:pPr>
        <w:autoSpaceDE w:val="0"/>
        <w:autoSpaceDN w:val="0"/>
        <w:adjustRightInd w:val="0"/>
        <w:ind w:leftChars="400" w:left="84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kern w:val="0"/>
          <w:sz w:val="23"/>
          <w:szCs w:val="23"/>
        </w:rPr>
        <w:t>書の提出を受けている場合であって、地域ケア会議等に当該利用者の居宅サービス計画を提出し、支援内容についての意見・助言を受けているもの。</w:t>
      </w:r>
      <w:r w:rsidRPr="00F20596">
        <w:rPr>
          <w:rFonts w:ascii="ＭＳ 明朝" w:eastAsia="ＭＳ 明朝" w:hAnsi="ＭＳ 明朝" w:cs="ＭＳ明朝" w:hint="eastAsia"/>
          <w:color w:val="FF0000"/>
          <w:kern w:val="0"/>
          <w:sz w:val="23"/>
          <w:szCs w:val="23"/>
        </w:rPr>
        <w:t>（以下の①～③の資料を添付）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800" w:firstLine="168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①</w:t>
      </w:r>
      <w:r w:rsidRPr="00053160">
        <w:rPr>
          <w:rFonts w:ascii="ＭＳ 明朝" w:eastAsia="ＭＳ 明朝" w:hAnsi="ＭＳ 明朝" w:cs="ＭＳ明朝" w:hint="eastAsia"/>
          <w:kern w:val="0"/>
          <w:szCs w:val="21"/>
        </w:rPr>
        <w:t>別紙４</w:t>
      </w:r>
    </w:p>
    <w:p w:rsidR="00053160" w:rsidRPr="00053160" w:rsidRDefault="00053160" w:rsidP="00053160">
      <w:pPr>
        <w:pStyle w:val="a3"/>
        <w:autoSpaceDE w:val="0"/>
        <w:autoSpaceDN w:val="0"/>
        <w:adjustRightInd w:val="0"/>
        <w:ind w:leftChars="0" w:left="210" w:firstLineChars="300" w:firstLine="63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  <w:r w:rsidRPr="00053160">
        <w:rPr>
          <w:rFonts w:ascii="ＭＳ 明朝" w:eastAsia="ＭＳ 明朝" w:hAnsi="ＭＳ 明朝" w:cs="ＭＳ明朝" w:hint="eastAsia"/>
          <w:kern w:val="0"/>
          <w:szCs w:val="21"/>
        </w:rPr>
        <w:t>②理由書</w:t>
      </w:r>
    </w:p>
    <w:p w:rsidR="00A21D2B" w:rsidRDefault="00053160" w:rsidP="00053160">
      <w:pPr>
        <w:ind w:firstLineChars="800" w:firstLine="1680"/>
        <w:rPr>
          <w:rFonts w:ascii="ＭＳ 明朝" w:eastAsia="ＭＳ 明朝" w:hAnsi="ＭＳ 明朝" w:cs="ＭＳ明朝"/>
          <w:kern w:val="0"/>
          <w:szCs w:val="21"/>
        </w:rPr>
      </w:pPr>
      <w:r w:rsidRPr="00053160">
        <w:rPr>
          <w:rFonts w:ascii="ＭＳ 明朝" w:eastAsia="ＭＳ 明朝" w:hAnsi="ＭＳ 明朝" w:cs="ＭＳ明朝" w:hint="eastAsia"/>
          <w:kern w:val="0"/>
          <w:szCs w:val="21"/>
        </w:rPr>
        <w:t>③意見・助言を受けた当該計画に係る地域ケア会議等の資料</w:t>
      </w:r>
    </w:p>
    <w:p w:rsidR="00053160" w:rsidRPr="00053160" w:rsidRDefault="00053160" w:rsidP="00053160">
      <w:pPr>
        <w:ind w:firstLineChars="800" w:firstLine="1840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</w:p>
    <w:p w:rsidR="00053160" w:rsidRPr="00053160" w:rsidRDefault="00053160" w:rsidP="000531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）キ．その他正当な理由と認められる場合</w:t>
      </w:r>
    </w:p>
    <w:p w:rsidR="00F20596" w:rsidRDefault="00F20596" w:rsidP="00F20596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（具体的な考え方）</w:t>
      </w:r>
    </w:p>
    <w:p w:rsidR="00053160" w:rsidRPr="00053160" w:rsidRDefault="00053160" w:rsidP="00782BD4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事業所の体制が充実していると考えられる</w:t>
      </w:r>
      <w:r w:rsidR="00782BD4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(ｱ)または(ｲ)</w:t>
      </w:r>
      <w:bookmarkStart w:id="0" w:name="_GoBack"/>
      <w:bookmarkEnd w:id="0"/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いずれかの場合</w:t>
      </w:r>
    </w:p>
    <w:p w:rsidR="00053160" w:rsidRPr="00053160" w:rsidRDefault="00053160" w:rsidP="00431B52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/>
          <w:color w:val="000000"/>
          <w:kern w:val="0"/>
          <w:szCs w:val="21"/>
        </w:rPr>
        <w:t>(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Pr="00053160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</w:t>
      </w:r>
      <w:r w:rsidR="00F20596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(ｱ)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訪問介護事業所において、特定事業所加算（Ⅰ）、（Ⅱ）、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800" w:firstLine="184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（Ⅲ）のいずれかを算定している事業所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400" w:firstLine="92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（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 xml:space="preserve">　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）</w:t>
      </w:r>
      <w:r w:rsidR="00F20596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(ｲ)</w:t>
      </w:r>
      <w:r w:rsidRPr="00053160"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  <w:t xml:space="preserve"> </w:t>
      </w: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個別機能訓練加算（Ⅰ）又は（Ⅱ）、栄養改善加算、口腔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機能向上加算の全てを算定することができる旨の届出をし</w:t>
      </w:r>
    </w:p>
    <w:p w:rsidR="00053160" w:rsidRPr="00053160" w:rsidRDefault="00053160" w:rsidP="00053160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000000"/>
          <w:kern w:val="0"/>
          <w:sz w:val="23"/>
          <w:szCs w:val="23"/>
        </w:rPr>
      </w:pPr>
      <w:r w:rsidRPr="00053160">
        <w:rPr>
          <w:rFonts w:ascii="ＭＳ 明朝" w:eastAsia="ＭＳ 明朝" w:hAnsi="ＭＳ 明朝" w:cs="ＭＳ明朝" w:hint="eastAsia"/>
          <w:color w:val="000000"/>
          <w:kern w:val="0"/>
          <w:sz w:val="23"/>
          <w:szCs w:val="23"/>
        </w:rPr>
        <w:t>ている通所介護事業所又は地域密着型通所介護事業所</w:t>
      </w:r>
    </w:p>
    <w:p w:rsidR="00856230" w:rsidRDefault="00856230" w:rsidP="00FC0AD9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FF0000"/>
          <w:kern w:val="0"/>
          <w:sz w:val="23"/>
          <w:szCs w:val="23"/>
        </w:rPr>
      </w:pPr>
    </w:p>
    <w:p w:rsidR="00856230" w:rsidRDefault="00856230" w:rsidP="0085623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FF0000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color w:val="FF0000"/>
          <w:kern w:val="0"/>
          <w:sz w:val="23"/>
          <w:szCs w:val="23"/>
        </w:rPr>
        <w:t xml:space="preserve">　</w:t>
      </w:r>
      <w:r w:rsidR="00A15F8D">
        <w:rPr>
          <w:rFonts w:ascii="ＭＳ 明朝" w:eastAsia="ＭＳ 明朝" w:hAnsi="ＭＳ 明朝" w:cs="ＭＳ明朝" w:hint="eastAsia"/>
          <w:color w:val="FF0000"/>
          <w:kern w:val="0"/>
          <w:sz w:val="23"/>
          <w:szCs w:val="23"/>
        </w:rPr>
        <w:t>【留意事項】</w:t>
      </w:r>
    </w:p>
    <w:p w:rsidR="00856230" w:rsidRPr="00053160" w:rsidRDefault="00A15F8D" w:rsidP="00FC0AD9">
      <w:pPr>
        <w:autoSpaceDE w:val="0"/>
        <w:autoSpaceDN w:val="0"/>
        <w:adjustRightInd w:val="0"/>
        <w:ind w:firstLineChars="900" w:firstLine="2070"/>
        <w:jc w:val="left"/>
        <w:rPr>
          <w:rFonts w:ascii="ＭＳ 明朝" w:eastAsia="ＭＳ 明朝" w:hAnsi="ＭＳ 明朝" w:cs="ＭＳ明朝"/>
          <w:color w:val="FF0000"/>
          <w:kern w:val="0"/>
          <w:sz w:val="23"/>
          <w:szCs w:val="23"/>
        </w:rPr>
      </w:pPr>
      <w:r>
        <w:rPr>
          <w:rFonts w:ascii="ＭＳ 明朝" w:eastAsia="ＭＳ 明朝" w:hAnsi="ＭＳ 明朝" w:cs="ＭＳ明朝"/>
          <w:noProof/>
          <w:color w:val="FF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231080</wp:posOffset>
                </wp:positionH>
                <wp:positionV relativeFrom="paragraph">
                  <wp:posOffset>1030</wp:posOffset>
                </wp:positionV>
                <wp:extent cx="4798120" cy="684770"/>
                <wp:effectExtent l="0" t="0" r="21590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120" cy="684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F8D" w:rsidRPr="00A15F8D" w:rsidRDefault="00A15F8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15F8D">
                              <w:rPr>
                                <w:rFonts w:ascii="ＭＳ 明朝" w:eastAsia="ＭＳ 明朝" w:hAnsi="ＭＳ 明朝" w:hint="eastAsia"/>
                              </w:rPr>
                              <w:t>・2以上のサービス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で、判定結果が80％を超える場合の正当な理由が、異なる場合は、それぞれ、該当する理由を選択すること。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2pt;margin-top:.1pt;width:377.8pt;height:53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" fillcolor="white [3201]" strokeweight=".5pt">
                <v:textbox>
                  <w:txbxContent>
                    <w:p w:rsidR="00A15F8D" w:rsidRPr="00A15F8D" w:rsidRDefault="00A15F8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15F8D">
                        <w:rPr>
                          <w:rFonts w:ascii="ＭＳ 明朝" w:eastAsia="ＭＳ 明朝" w:hAnsi="ＭＳ 明朝" w:hint="eastAsia"/>
                        </w:rPr>
                        <w:t>・2以上のサービス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で、判定結果が80％を超える場合の正当な理由が、異なる場合は、それぞれ、該当する理由を選択すること。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6230" w:rsidRPr="00053160" w:rsidSect="00431B5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9BC"/>
    <w:multiLevelType w:val="hybridMultilevel"/>
    <w:tmpl w:val="42B20D5A"/>
    <w:lvl w:ilvl="0" w:tplc="42FE67D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60"/>
    <w:rsid w:val="00053160"/>
    <w:rsid w:val="002C2CE4"/>
    <w:rsid w:val="00387B9D"/>
    <w:rsid w:val="00431B52"/>
    <w:rsid w:val="00782BD4"/>
    <w:rsid w:val="00856230"/>
    <w:rsid w:val="00A15F8D"/>
    <w:rsid w:val="00A21D2B"/>
    <w:rsid w:val="00A23E7A"/>
    <w:rsid w:val="00BA67B3"/>
    <w:rsid w:val="00F20596"/>
    <w:rsid w:val="00F85FAF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3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B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3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